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hint="default" w:ascii="Arial" w:hAnsi="Arial" w:eastAsia="宋体"/>
          <w:b/>
          <w:bCs/>
          <w:i/>
          <w:sz w:val="24"/>
          <w:szCs w:val="24"/>
          <w:lang w:val="en-US" w:eastAsia="zh-CN"/>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w:t>
      </w:r>
      <w:r>
        <w:rPr>
          <w:rFonts w:hint="eastAsia" w:ascii="Arial" w:hAnsi="Arial" w:eastAsia="Times New Roman" w:cs="Arial"/>
          <w:b/>
          <w:sz w:val="24"/>
          <w:szCs w:val="24"/>
          <w:lang w:val="en-GB" w:eastAsia="en-US"/>
        </w:rPr>
        <w:t xml:space="preserve"> #131bis</w:t>
      </w:r>
      <w:r>
        <w:rPr>
          <w:rFonts w:hint="eastAsia" w:ascii="Arial" w:hAnsi="Arial" w:eastAsia="宋体" w:cs="Arial"/>
          <w:b/>
          <w:sz w:val="24"/>
          <w:szCs w:val="24"/>
        </w:rPr>
        <w:t xml:space="preserve">                           </w:t>
      </w:r>
      <w:r>
        <w:rPr>
          <w:rFonts w:hint="eastAsia" w:ascii="Arial" w:hAnsi="Arial" w:eastAsia="宋体" w:cs="Arial"/>
          <w:b/>
          <w:sz w:val="24"/>
          <w:szCs w:val="24"/>
          <w:lang w:val="en-US" w:eastAsia="zh-CN"/>
        </w:rPr>
        <w:t xml:space="preserve"> </w:t>
      </w:r>
      <w:bookmarkStart w:id="7" w:name="_GoBack"/>
      <w:bookmarkEnd w:id="7"/>
      <w:r>
        <w:rPr>
          <w:rFonts w:hint="eastAsia" w:ascii="Arial" w:hAnsi="Arial" w:eastAsia="宋体"/>
          <w:b/>
          <w:bCs/>
          <w:sz w:val="24"/>
          <w:szCs w:val="24"/>
          <w:lang w:val="en-US" w:eastAsia="zh-CN"/>
        </w:rPr>
        <w:t>R2-2506886</w:t>
      </w:r>
    </w:p>
    <w:p>
      <w:pPr>
        <w:pStyle w:val="60"/>
        <w:tabs>
          <w:tab w:val="left" w:pos="1701"/>
          <w:tab w:val="right" w:pos="9923"/>
          <w:tab w:val="clear" w:pos="4536"/>
          <w:tab w:val="clear" w:pos="9072"/>
        </w:tabs>
        <w:rPr>
          <w:rFonts w:hint="eastAsia"/>
          <w:sz w:val="24"/>
          <w:szCs w:val="36"/>
        </w:rPr>
      </w:pPr>
      <w:r>
        <w:rPr>
          <w:sz w:val="24"/>
          <w:szCs w:val="24"/>
          <w:lang w:val="en-US"/>
        </w:rPr>
        <w:t>Prague, Czech Republic, Oct. 13</w:t>
      </w:r>
      <w:r>
        <w:rPr>
          <w:sz w:val="24"/>
          <w:szCs w:val="24"/>
          <w:vertAlign w:val="superscript"/>
          <w:lang w:val="en-US"/>
        </w:rPr>
        <w:t>th</w:t>
      </w:r>
      <w:r>
        <w:rPr>
          <w:sz w:val="24"/>
          <w:szCs w:val="24"/>
          <w:lang w:val="en-US"/>
        </w:rPr>
        <w:t>-17</w:t>
      </w:r>
      <w:r>
        <w:rPr>
          <w:sz w:val="24"/>
          <w:szCs w:val="24"/>
          <w:vertAlign w:val="superscript"/>
          <w:lang w:val="en-US"/>
        </w:rPr>
        <w:t>th</w:t>
      </w:r>
      <w:r>
        <w:rPr>
          <w:rFonts w:hint="eastAsia"/>
          <w:sz w:val="24"/>
          <w:szCs w:val="24"/>
        </w:rPr>
        <w:t>, 2025</w:t>
      </w:r>
    </w:p>
    <w:p>
      <w:pPr>
        <w:pStyle w:val="60"/>
        <w:tabs>
          <w:tab w:val="left" w:pos="1701"/>
          <w:tab w:val="right" w:pos="9923"/>
          <w:tab w:val="clear" w:pos="4536"/>
          <w:tab w:val="clear" w:pos="9072"/>
        </w:tabs>
        <w:rPr>
          <w:sz w:val="24"/>
          <w:szCs w:val="36"/>
        </w:rPr>
      </w:pP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 Topology 2 for Ambient IoT</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highlight w:val="none"/>
          <w:lang w:val="en-US" w:eastAsia="zh-CN"/>
        </w:rPr>
        <w:t>9.2.2</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widowControl/>
        <w:spacing w:before="120" w:after="120" w:line="360" w:lineRule="auto"/>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In accordance with the work for Ambient IoT (Internet of Things) in NR in Rel-19, the specification of Device 1 for use in Deployment Scenario 1 with Topology 1 has been completed. In Rel-20, RAN2 should start the discussion on Topology 2 where the UE acts as an intermediate node under NW control. Actually, we have already completed basic discussions on Topology 2 during the SI phase, and the specification can be found in TR 38.769. At the last RAN#109 meeting, RAN updated the following constraints related to Topology 2 for RAN2 work [1].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before="80" w:after="80"/>
              <w:ind w:left="360"/>
              <w:rPr>
                <w:rFonts w:hint="default" w:ascii="Times New Roman" w:hAnsi="Times New Roman" w:eastAsia="等线" w:cs="Times New Roman"/>
              </w:rPr>
            </w:pPr>
            <w:r>
              <w:rPr>
                <w:rFonts w:hint="default" w:ascii="Times New Roman" w:hAnsi="Times New Roman" w:eastAsia="等线" w:cs="Times New Roman"/>
                <w:b/>
                <w:bCs/>
                <w:u w:val="single"/>
              </w:rPr>
              <w:t>RAN2</w:t>
            </w:r>
          </w:p>
          <w:p>
            <w:pPr>
              <w:numPr>
                <w:ilvl w:val="0"/>
                <w:numId w:val="18"/>
              </w:numPr>
              <w:spacing w:before="80" w:after="80"/>
              <w:ind w:hanging="357"/>
              <w:rPr>
                <w:rFonts w:hint="default" w:ascii="Times New Roman" w:hAnsi="Times New Roman" w:eastAsia="等线" w:cs="Times New Roman"/>
                <w:sz w:val="20"/>
                <w:szCs w:val="21"/>
              </w:rPr>
            </w:pPr>
            <w:r>
              <w:rPr>
                <w:rFonts w:hint="default" w:ascii="Times New Roman" w:hAnsi="Times New Roman" w:eastAsia="等线" w:cs="Times New Roman"/>
                <w:sz w:val="20"/>
                <w:szCs w:val="21"/>
              </w:rPr>
              <w:t>The objective includes specification of necessary Uu procedures to enable the A-IoT operations.</w:t>
            </w:r>
          </w:p>
          <w:p>
            <w:pPr>
              <w:numPr>
                <w:ilvl w:val="0"/>
                <w:numId w:val="18"/>
              </w:numPr>
              <w:spacing w:before="80" w:after="80"/>
              <w:ind w:hanging="357"/>
              <w:rPr>
                <w:rFonts w:hint="default" w:ascii="Times New Roman" w:hAnsi="Times New Roman" w:eastAsia="等线" w:cs="Times New Roman"/>
                <w:sz w:val="20"/>
                <w:szCs w:val="21"/>
              </w:rPr>
            </w:pPr>
            <w:r>
              <w:rPr>
                <w:rFonts w:hint="default" w:ascii="Times New Roman" w:hAnsi="Times New Roman" w:eastAsia="等线" w:cs="Times New Roman"/>
                <w:sz w:val="20"/>
                <w:szCs w:val="21"/>
              </w:rPr>
              <w:t>RRC CONNECTED UE reader only, including RLF and handover, without specific enhancement for other temporary out-of-connection scenarios.</w:t>
            </w:r>
          </w:p>
          <w:p>
            <w:pPr>
              <w:numPr>
                <w:ilvl w:val="0"/>
                <w:numId w:val="18"/>
              </w:numPr>
              <w:spacing w:before="80" w:after="80"/>
              <w:ind w:hanging="357"/>
              <w:rPr>
                <w:rFonts w:hint="default" w:ascii="Times New Roman" w:hAnsi="Times New Roman" w:eastAsia="等线" w:cs="Times New Roman"/>
                <w:sz w:val="20"/>
                <w:szCs w:val="21"/>
              </w:rPr>
            </w:pPr>
            <w:r>
              <w:rPr>
                <w:rFonts w:hint="default" w:ascii="Times New Roman" w:hAnsi="Times New Roman" w:eastAsia="等线" w:cs="Times New Roman"/>
                <w:sz w:val="20"/>
                <w:szCs w:val="21"/>
              </w:rPr>
              <w:t>A-IoT radio resource of the UE reader is only valid within the serving cell.</w:t>
            </w:r>
          </w:p>
          <w:p>
            <w:pPr>
              <w:numPr>
                <w:ilvl w:val="0"/>
                <w:numId w:val="18"/>
              </w:numPr>
              <w:spacing w:before="80" w:after="80"/>
              <w:ind w:hanging="357"/>
              <w:rPr>
                <w:rFonts w:hint="eastAsia" w:ascii="Times New Roman" w:hAnsi="Times New Roman" w:eastAsia="宋体" w:cs="Times New Roman"/>
                <w:kern w:val="0"/>
                <w:sz w:val="20"/>
                <w:szCs w:val="20"/>
                <w:vertAlign w:val="baseline"/>
                <w:lang w:val="en-US" w:eastAsia="zh-CN"/>
              </w:rPr>
            </w:pPr>
            <w:r>
              <w:rPr>
                <w:rFonts w:hint="default" w:ascii="Times New Roman" w:hAnsi="Times New Roman" w:eastAsia="等线" w:cs="Times New Roman"/>
                <w:sz w:val="20"/>
                <w:szCs w:val="21"/>
              </w:rPr>
              <w:t>Resource allocation to the UE Reader shall be via Uu RRC signaling.</w:t>
            </w:r>
          </w:p>
        </w:tc>
      </w:tr>
    </w:tbl>
    <w:p>
      <w:pPr>
        <w:widowControl/>
        <w:spacing w:before="120" w:after="120" w:line="360" w:lineRule="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In this contribution, we would like to share our opinions on </w:t>
      </w:r>
      <w:r>
        <w:rPr>
          <w:rFonts w:hint="eastAsia" w:ascii="Times New Roman" w:hAnsi="Times New Roman" w:eastAsia="宋体" w:cs="Times New Roman"/>
          <w:kern w:val="0"/>
          <w:sz w:val="20"/>
          <w:szCs w:val="20"/>
          <w:lang w:val="en-US" w:eastAsia="zh-CN"/>
        </w:rPr>
        <w:t xml:space="preserve">the related aspects of </w:t>
      </w:r>
      <w:r>
        <w:rPr>
          <w:rFonts w:hint="default" w:ascii="Times New Roman" w:hAnsi="Times New Roman" w:eastAsia="宋体" w:cs="Times New Roman"/>
          <w:kern w:val="0"/>
          <w:sz w:val="20"/>
          <w:szCs w:val="20"/>
          <w:lang w:val="en-US" w:eastAsia="zh-CN"/>
        </w:rPr>
        <w:t>D</w:t>
      </w:r>
      <w:r>
        <w:rPr>
          <w:rFonts w:hint="eastAsia" w:ascii="Times New Roman" w:hAnsi="Times New Roman" w:eastAsia="宋体" w:cs="Times New Roman"/>
          <w:kern w:val="0"/>
          <w:sz w:val="20"/>
          <w:szCs w:val="20"/>
          <w:lang w:val="en-US" w:eastAsia="zh-CN"/>
        </w:rPr>
        <w:t>2T2</w:t>
      </w:r>
      <w:r>
        <w:rPr>
          <w:rFonts w:hint="default" w:ascii="Times New Roman" w:hAnsi="Times New Roman" w:eastAsia="宋体" w:cs="Times New Roman"/>
          <w:kern w:val="0"/>
          <w:sz w:val="20"/>
          <w:szCs w:val="20"/>
          <w:lang w:val="en-US" w:eastAsia="zh-CN"/>
        </w:rPr>
        <w:t xml:space="preserve"> for Ambient IoT</w:t>
      </w:r>
      <w:r>
        <w:rPr>
          <w:rFonts w:hint="eastAsia" w:ascii="Times New Roman" w:hAnsi="Times New Roman" w:eastAsia="宋体" w:cs="Times New Roman"/>
          <w:kern w:val="0"/>
          <w:sz w:val="20"/>
          <w:szCs w:val="20"/>
          <w:lang w:val="en-US" w:eastAsia="zh-CN"/>
        </w:rPr>
        <w:t>, based on the above WID</w:t>
      </w:r>
      <w:r>
        <w:rPr>
          <w:rFonts w:hint="default" w:ascii="Times New Roman" w:hAnsi="Times New Roman" w:eastAsia="宋体" w:cs="Times New Roman"/>
          <w:kern w:val="0"/>
          <w:sz w:val="20"/>
          <w:szCs w:val="20"/>
          <w:lang w:val="en-US" w:eastAsia="zh-CN"/>
        </w:rPr>
        <w: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CG Times (WN)" w:hAnsi="CG Times (WN)" w:eastAsia="Times New Roman" w:cs="Times New Roman"/>
          <w:kern w:val="0"/>
          <w:sz w:val="36"/>
          <w:szCs w:val="20"/>
          <w:lang w:val="fr-FR" w:eastAsia="en-US"/>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bidi="ar-SA"/>
        </w:rPr>
      </w:pPr>
      <w:bookmarkStart w:id="5" w:name="PP12"/>
      <w:r>
        <w:rPr>
          <w:rFonts w:hint="eastAsia" w:ascii="Times New Roman" w:hAnsi="Times New Roman" w:eastAsia="宋体" w:cs="Times New Roman"/>
          <w:kern w:val="0"/>
          <w:sz w:val="20"/>
          <w:szCs w:val="20"/>
          <w:lang w:val="en-US" w:eastAsia="zh-CN" w:bidi="ar-SA"/>
        </w:rPr>
        <w:t>For the architecture/protocol stack options of Topology 2, according to the progress of SA, the work task for supporting A-IoT services in Topology 2 is specified by a new SID as follows [2].</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suppressAutoHyphens w:val="0"/>
              <w:overflowPunct w:val="0"/>
              <w:autoSpaceDE w:val="0"/>
              <w:autoSpaceDN w:val="0"/>
              <w:adjustRightInd w:val="0"/>
              <w:spacing w:after="180"/>
              <w:ind w:left="568" w:hanging="284"/>
              <w:jc w:val="left"/>
              <w:textAlignment w:val="baseline"/>
              <w:rPr>
                <w:rFonts w:hint="default" w:ascii="Times New Roman" w:hAnsi="Times New Roman" w:eastAsia="等线" w:cs="Times New Roman"/>
                <w:kern w:val="0"/>
                <w:sz w:val="20"/>
                <w:szCs w:val="20"/>
                <w:lang w:val="en-GB" w:eastAsia="ja-JP"/>
              </w:rPr>
            </w:pPr>
            <w:r>
              <w:rPr>
                <w:rFonts w:hint="default" w:ascii="Times New Roman" w:hAnsi="Times New Roman" w:eastAsia="等线" w:cs="Times New Roman"/>
                <w:b/>
                <w:bCs/>
                <w:kern w:val="0"/>
                <w:sz w:val="20"/>
                <w:szCs w:val="20"/>
                <w:lang w:val="en-GB" w:eastAsia="ja-JP"/>
              </w:rPr>
              <w:t>WT#1: Study the support of AIoT services in Topology 2</w:t>
            </w:r>
            <w:r>
              <w:rPr>
                <w:rFonts w:hint="default" w:ascii="Times New Roman" w:hAnsi="Times New Roman" w:eastAsia="等线" w:cs="Times New Roman"/>
                <w:kern w:val="0"/>
                <w:sz w:val="20"/>
                <w:szCs w:val="20"/>
                <w:lang w:val="en-GB" w:eastAsia="ja-JP"/>
              </w:rPr>
              <w:t>, including:</w:t>
            </w:r>
          </w:p>
          <w:p>
            <w:pPr>
              <w:widowControl/>
              <w:suppressAutoHyphens w:val="0"/>
              <w:overflowPunct w:val="0"/>
              <w:autoSpaceDE w:val="0"/>
              <w:autoSpaceDN w:val="0"/>
              <w:adjustRightInd w:val="0"/>
              <w:spacing w:after="180"/>
              <w:ind w:left="851" w:hanging="284"/>
              <w:jc w:val="left"/>
              <w:textAlignment w:val="baseline"/>
              <w:rPr>
                <w:rFonts w:hint="default" w:ascii="Times New Roman" w:hAnsi="Times New Roman" w:eastAsia="等线" w:cs="Times New Roman"/>
                <w:kern w:val="0"/>
                <w:sz w:val="20"/>
                <w:szCs w:val="20"/>
                <w:lang w:val="en-GB" w:eastAsia="ja-JP"/>
              </w:rPr>
            </w:pPr>
            <w:r>
              <w:rPr>
                <w:rFonts w:hint="default" w:ascii="Times New Roman" w:hAnsi="Times New Roman" w:eastAsia="等线" w:cs="Times New Roman"/>
                <w:kern w:val="0"/>
                <w:sz w:val="20"/>
                <w:szCs w:val="20"/>
                <w:lang w:val="en-GB" w:eastAsia="ja-JP"/>
              </w:rPr>
              <w:t>-</w:t>
            </w:r>
            <w:r>
              <w:rPr>
                <w:rFonts w:hint="default" w:ascii="Times New Roman" w:hAnsi="Times New Roman" w:eastAsia="等线" w:cs="Times New Roman"/>
                <w:kern w:val="0"/>
                <w:sz w:val="20"/>
                <w:szCs w:val="20"/>
                <w:lang w:val="en-GB" w:eastAsia="ja-JP"/>
              </w:rPr>
              <w:tab/>
            </w:r>
            <w:r>
              <w:rPr>
                <w:rFonts w:hint="default" w:ascii="Times New Roman" w:hAnsi="Times New Roman" w:eastAsia="等线" w:cs="Times New Roman"/>
                <w:kern w:val="0"/>
                <w:sz w:val="20"/>
                <w:szCs w:val="20"/>
                <w:lang w:val="en-GB" w:eastAsia="ja-JP"/>
              </w:rPr>
              <w:t xml:space="preserve"> Study and investigate how to support AIoT services under </w:t>
            </w:r>
            <w:r>
              <w:rPr>
                <w:rFonts w:hint="default" w:ascii="Times New Roman" w:hAnsi="Times New Roman" w:eastAsia="等线" w:cs="Times New Roman"/>
                <w:kern w:val="0"/>
                <w:sz w:val="20"/>
                <w:szCs w:val="20"/>
                <w:highlight w:val="yellow"/>
                <w:lang w:val="en-GB" w:eastAsia="ja-JP"/>
              </w:rPr>
              <w:t>the RRC-based option</w:t>
            </w:r>
            <w:r>
              <w:rPr>
                <w:rFonts w:hint="default" w:ascii="Times New Roman" w:hAnsi="Times New Roman" w:eastAsia="等线" w:cs="Times New Roman"/>
                <w:kern w:val="0"/>
                <w:sz w:val="20"/>
                <w:szCs w:val="20"/>
                <w:lang w:val="en-GB" w:eastAsia="ja-JP"/>
              </w:rPr>
              <w:t xml:space="preserve"> for UE Reader connectivity.</w:t>
            </w:r>
          </w:p>
          <w:p>
            <w:pPr>
              <w:keepLines/>
              <w:widowControl/>
              <w:suppressAutoHyphens w:val="0"/>
              <w:overflowPunct w:val="0"/>
              <w:autoSpaceDE w:val="0"/>
              <w:autoSpaceDN w:val="0"/>
              <w:adjustRightInd w:val="0"/>
              <w:spacing w:after="180"/>
              <w:ind w:left="1135" w:hanging="851"/>
              <w:jc w:val="left"/>
              <w:textAlignment w:val="baseline"/>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eastAsia="等线" w:cs="Times New Roman"/>
                <w:kern w:val="0"/>
                <w:sz w:val="20"/>
                <w:szCs w:val="20"/>
                <w:lang w:val="en-GB" w:eastAsia="ja-JP"/>
              </w:rPr>
              <w:t>NOTE 3:</w:t>
            </w:r>
            <w:r>
              <w:rPr>
                <w:rFonts w:hint="default" w:ascii="Times New Roman" w:hAnsi="Times New Roman" w:eastAsia="等线" w:cs="Times New Roman"/>
                <w:kern w:val="0"/>
                <w:sz w:val="20"/>
                <w:szCs w:val="20"/>
                <w:lang w:val="en-GB" w:eastAsia="ja-JP"/>
              </w:rPr>
              <w:tab/>
            </w:r>
            <w:r>
              <w:rPr>
                <w:rFonts w:hint="default" w:ascii="Times New Roman" w:hAnsi="Times New Roman" w:eastAsia="等线" w:cs="Times New Roman"/>
                <w:kern w:val="0"/>
                <w:sz w:val="20"/>
                <w:szCs w:val="20"/>
                <w:lang w:val="en-GB" w:eastAsia="ja-JP"/>
              </w:rPr>
              <w:t>Rel-19 TR solution and interim conclusion should be used as basis for rel-20 work. Solution submitted to rel-20 need to align with rel-19 TR interim conclusion.</w:t>
            </w:r>
            <w:r>
              <w:rPr>
                <w:rFonts w:hint="default" w:ascii="Times New Roman" w:hAnsi="Times New Roman" w:eastAsia="等线" w:cs="Times New Roman"/>
                <w:kern w:val="0"/>
                <w:sz w:val="20"/>
                <w:szCs w:val="20"/>
                <w:lang w:val="en-GB"/>
              </w:rPr>
              <w:t xml:space="preserve"> </w:t>
            </w:r>
            <w:r>
              <w:rPr>
                <w:rFonts w:hint="default" w:ascii="Times New Roman" w:hAnsi="Times New Roman" w:eastAsia="等线" w:cs="Times New Roman"/>
                <w:kern w:val="0"/>
                <w:sz w:val="20"/>
                <w:szCs w:val="20"/>
                <w:lang w:val="en-GB" w:eastAsia="ja-JP"/>
              </w:rPr>
              <w:t>No rel-19 AIoT Device impact from this WT is expected.</w:t>
            </w:r>
          </w:p>
        </w:tc>
      </w:tr>
    </w:tbl>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bidi="ar-SA"/>
        </w:rPr>
      </w:pPr>
      <w:r>
        <w:rPr>
          <w:rFonts w:hint="default" w:ascii="Times New Roman" w:hAnsi="Times New Roman" w:eastAsia="宋体" w:cs="Times New Roman"/>
          <w:kern w:val="0"/>
          <w:sz w:val="20"/>
          <w:szCs w:val="20"/>
          <w:lang w:val="en-US" w:eastAsia="zh-CN" w:bidi="ar-SA"/>
        </w:rPr>
        <w:t>Correspondingly, to align with SA’s decision</w:t>
      </w:r>
      <w:r>
        <w:rPr>
          <w:rFonts w:hint="eastAsia" w:ascii="Times New Roman" w:hAnsi="Times New Roman" w:eastAsia="宋体" w:cs="Times New Roman"/>
          <w:kern w:val="0"/>
          <w:sz w:val="20"/>
          <w:szCs w:val="20"/>
          <w:lang w:val="en-US" w:eastAsia="zh-CN" w:bidi="ar-SA"/>
        </w:rPr>
        <w:t xml:space="preserve">, </w:t>
      </w:r>
      <w:r>
        <w:rPr>
          <w:rFonts w:hint="default" w:ascii="Times New Roman" w:hAnsi="Times New Roman" w:eastAsia="宋体" w:cs="Times New Roman"/>
          <w:kern w:val="0"/>
          <w:sz w:val="20"/>
          <w:szCs w:val="20"/>
          <w:lang w:val="en-US" w:eastAsia="zh-CN" w:bidi="ar-SA"/>
        </w:rPr>
        <w:t>the R</w:t>
      </w:r>
      <w:r>
        <w:rPr>
          <w:rFonts w:hint="eastAsia" w:ascii="Times New Roman" w:hAnsi="Times New Roman" w:eastAsia="宋体" w:cs="Times New Roman"/>
          <w:kern w:val="0"/>
          <w:sz w:val="20"/>
          <w:szCs w:val="20"/>
          <w:lang w:val="en-US" w:eastAsia="zh-CN" w:bidi="ar-SA"/>
        </w:rPr>
        <w:t xml:space="preserve">AN </w:t>
      </w:r>
      <w:r>
        <w:rPr>
          <w:rFonts w:hint="default" w:ascii="Times New Roman" w:hAnsi="Times New Roman" w:eastAsia="宋体" w:cs="Times New Roman"/>
          <w:kern w:val="0"/>
          <w:sz w:val="20"/>
          <w:szCs w:val="20"/>
          <w:lang w:val="en-US" w:eastAsia="zh-CN" w:bidi="ar-SA"/>
        </w:rPr>
        <w:t>plenary has also</w:t>
      </w:r>
      <w:r>
        <w:rPr>
          <w:rFonts w:hint="eastAsia" w:ascii="Times New Roman" w:hAnsi="Times New Roman" w:eastAsia="宋体" w:cs="Times New Roman"/>
          <w:kern w:val="0"/>
          <w:sz w:val="20"/>
          <w:szCs w:val="20"/>
          <w:lang w:val="en-US" w:eastAsia="zh-CN" w:bidi="ar-SA"/>
        </w:rPr>
        <w:t xml:space="preserve"> </w:t>
      </w:r>
      <w:r>
        <w:rPr>
          <w:rFonts w:hint="default" w:ascii="Times New Roman" w:hAnsi="Times New Roman" w:eastAsia="宋体" w:cs="Times New Roman"/>
          <w:kern w:val="0"/>
          <w:sz w:val="20"/>
          <w:szCs w:val="20"/>
          <w:lang w:val="en-US" w:eastAsia="zh-CN" w:bidi="ar-SA"/>
        </w:rPr>
        <w:t xml:space="preserve">updated </w:t>
      </w:r>
      <w:r>
        <w:rPr>
          <w:rFonts w:hint="eastAsia" w:ascii="Times New Roman" w:hAnsi="Times New Roman" w:eastAsia="宋体" w:cs="Times New Roman"/>
          <w:kern w:val="0"/>
          <w:sz w:val="20"/>
          <w:szCs w:val="20"/>
          <w:lang w:val="en-US" w:eastAsia="zh-CN" w:bidi="ar-SA"/>
        </w:rPr>
        <w:t xml:space="preserve">the </w:t>
      </w:r>
      <w:r>
        <w:rPr>
          <w:rFonts w:hint="default" w:ascii="Times New Roman" w:hAnsi="Times New Roman" w:eastAsia="宋体" w:cs="Times New Roman"/>
          <w:kern w:val="0"/>
          <w:sz w:val="20"/>
          <w:szCs w:val="20"/>
          <w:lang w:val="en-US" w:eastAsia="zh-CN" w:bidi="ar-SA"/>
        </w:rPr>
        <w:t>WID</w:t>
      </w:r>
      <w:r>
        <w:rPr>
          <w:rFonts w:hint="eastAsia" w:ascii="Times New Roman" w:hAnsi="Times New Roman" w:eastAsia="宋体" w:cs="Times New Roman"/>
          <w:kern w:val="0"/>
          <w:sz w:val="20"/>
          <w:szCs w:val="20"/>
          <w:lang w:val="en-US" w:eastAsia="zh-CN" w:bidi="ar-SA"/>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56"/>
              <w:numPr>
                <w:ilvl w:val="0"/>
                <w:numId w:val="19"/>
              </w:numPr>
              <w:overflowPunct w:val="0"/>
              <w:snapToGrid/>
              <w:spacing w:before="80" w:after="80"/>
              <w:ind w:left="425" w:leftChars="0" w:hanging="425"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support for Deployment Scenario 2 with Topology 2 with intermediate UE as Reader under the following conditions [RAN2-led]:</w:t>
            </w:r>
          </w:p>
          <w:p>
            <w:pPr>
              <w:numPr>
                <w:ilvl w:val="0"/>
                <w:numId w:val="18"/>
              </w:numPr>
              <w:spacing w:before="80" w:after="80"/>
              <w:rPr>
                <w:rFonts w:hint="default" w:ascii="Times New Roman" w:hAnsi="Times New Roman" w:eastAsia="等线" w:cs="Times New Roman"/>
                <w:sz w:val="20"/>
                <w:szCs w:val="20"/>
                <w:highlight w:val="yellow"/>
              </w:rPr>
            </w:pPr>
            <w:r>
              <w:rPr>
                <w:rFonts w:hint="default" w:ascii="Times New Roman" w:hAnsi="Times New Roman" w:eastAsia="等线" w:cs="Times New Roman"/>
                <w:sz w:val="20"/>
                <w:szCs w:val="20"/>
                <w:highlight w:val="yellow"/>
              </w:rPr>
              <w:t>Specify RRC-based architecture, in coordination with SA2.</w:t>
            </w:r>
          </w:p>
          <w:p>
            <w:pPr>
              <w:numPr>
                <w:ilvl w:val="0"/>
                <w:numId w:val="18"/>
              </w:numPr>
              <w:spacing w:before="80" w:after="8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following are not supported:</w:t>
            </w:r>
          </w:p>
          <w:p>
            <w:pPr>
              <w:numPr>
                <w:ilvl w:val="1"/>
                <w:numId w:val="18"/>
              </w:numPr>
              <w:spacing w:before="80" w:after="8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Coordination between UEs operating as UE readers</w:t>
            </w:r>
          </w:p>
          <w:p>
            <w:pPr>
              <w:numPr>
                <w:ilvl w:val="1"/>
                <w:numId w:val="18"/>
              </w:numPr>
              <w:spacing w:before="80" w:after="8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New Uu protocol layer(s)</w:t>
            </w:r>
          </w:p>
          <w:p>
            <w:pPr>
              <w:numPr>
                <w:ilvl w:val="1"/>
                <w:numId w:val="18"/>
              </w:numPr>
              <w:spacing w:before="80" w:after="8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Simultaneous (time overlapping) operation of Uu and A-IoT at the intermediate UE in the same band</w:t>
            </w:r>
          </w:p>
          <w:p>
            <w:pPr>
              <w:spacing w:before="80" w:after="80"/>
              <w:ind w:left="360"/>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eastAsia="等线" w:cs="Times New Roman"/>
                <w:sz w:val="20"/>
                <w:szCs w:val="20"/>
              </w:rPr>
              <w:t>This objective begins after RAN#109 (September 2025), and after RAN1#111 (March 2026) for RAN1.</w:t>
            </w:r>
          </w:p>
        </w:tc>
      </w:tr>
    </w:tbl>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Therefore, RAN2 only needs to discuss the RRC-based solution and define the relevant RRC procedures to enable A-IoT operations in the Rel-20 phase.</w:t>
      </w:r>
    </w:p>
    <w:p>
      <w:pPr>
        <w:pStyle w:val="156"/>
        <w:widowControl/>
        <w:adjustRightInd w:val="0"/>
        <w:snapToGrid w:val="0"/>
        <w:spacing w:after="120" w:afterLines="50" w:line="360" w:lineRule="auto"/>
        <w:ind w:firstLine="0" w:firstLineChars="0"/>
        <w:rPr>
          <w:rFonts w:hint="default" w:ascii="Times New Roman" w:hAnsi="Times New Roman" w:cs="Times New Roman" w:eastAsiaTheme="minorEastAsia"/>
          <w:kern w:val="0"/>
          <w:sz w:val="20"/>
          <w:szCs w:val="20"/>
          <w:lang w:val="en-US" w:eastAsia="zh-CN" w:bidi="ar-SA"/>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RAN2 should focus on the RRC-based design to enable the A-IoT Topology 2 operations.</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During the SI stage, the following alternatives were studied regarding the radio resources allocation request.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Alternative 1: BS configures/allocates a set A-IoT radio resource to the UE reader, in response to a request from the UE reader; and/or</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vertAlign w:val="baseline"/>
                <w:lang w:val="en-US" w:eastAsia="zh-CN" w:bidi="ar-SA"/>
              </w:rPr>
            </w:pPr>
            <w:r>
              <w:rPr>
                <w:rFonts w:hint="eastAsia"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Alternative 2: BS configures/allocates a set A-IoT radio resource to the UE reader, based on the service request from CN.</w:t>
            </w:r>
          </w:p>
        </w:tc>
      </w:tr>
    </w:tbl>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CN indication-based approach is efficient and direct for allocating A-IoT radio resources. Considering the support for the DO-A traffic type in the Rel-20 phase, A-IoT device may actively send a D2R message to the UE reader for data transmission. In this case, the occupied radio resources can be indicated by the CN or in response to a UE reader request. Therefore, RAN2 should support the above two radio resources allocation mechanisms. The UE request-based approach has certain impacts on RAN2, and a new Uu signalling should be defined accordingly.</w:t>
      </w:r>
    </w:p>
    <w:p>
      <w:pPr>
        <w:pStyle w:val="156"/>
        <w:widowControl/>
        <w:adjustRightInd w:val="0"/>
        <w:snapToGrid w:val="0"/>
        <w:spacing w:after="120" w:afterLines="50" w:line="360" w:lineRule="auto"/>
        <w:ind w:firstLine="0" w:firstLineChars="0"/>
        <w:rPr>
          <w:rFonts w:eastAsia="宋体"/>
          <w:kern w:val="2"/>
          <w:sz w:val="20"/>
          <w:lang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RAN2 </w:t>
      </w:r>
      <w:r>
        <w:rPr>
          <w:rFonts w:hint="eastAsia" w:ascii="Times New Roman" w:hAnsi="Times New Roman" w:cs="Times New Roman"/>
          <w:b/>
          <w:i/>
          <w:sz w:val="22"/>
          <w:szCs w:val="24"/>
          <w:lang w:val="en-US" w:eastAsia="zh-CN"/>
        </w:rPr>
        <w:t>to</w:t>
      </w:r>
      <w:r>
        <w:rPr>
          <w:rFonts w:hint="eastAsia"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confirm</w:t>
      </w:r>
      <w:r>
        <w:rPr>
          <w:rFonts w:hint="eastAsia" w:ascii="Times New Roman" w:hAnsi="Times New Roman" w:cs="Times New Roman"/>
          <w:b/>
          <w:i/>
          <w:sz w:val="22"/>
          <w:szCs w:val="24"/>
        </w:rPr>
        <w:t xml:space="preserve"> support</w:t>
      </w:r>
      <w:r>
        <w:rPr>
          <w:rFonts w:hint="eastAsia" w:ascii="Times New Roman" w:hAnsi="Times New Roman" w:cs="Times New Roman"/>
          <w:b/>
          <w:i/>
          <w:sz w:val="22"/>
          <w:szCs w:val="24"/>
          <w:lang w:val="en-US" w:eastAsia="zh-CN"/>
        </w:rPr>
        <w:t xml:space="preserve"> for both the </w:t>
      </w:r>
      <w:r>
        <w:rPr>
          <w:rFonts w:ascii="Times New Roman" w:hAnsi="Times New Roman" w:cs="Times New Roman"/>
          <w:b/>
          <w:i/>
          <w:sz w:val="22"/>
          <w:szCs w:val="24"/>
          <w:lang w:eastAsia="de-DE"/>
        </w:rPr>
        <w:t>CN indication</w:t>
      </w:r>
      <w:r>
        <w:rPr>
          <w:rFonts w:hint="eastAsia" w:ascii="Times New Roman" w:hAnsi="Times New Roman" w:cs="Times New Roman"/>
          <w:b/>
          <w:i/>
          <w:sz w:val="22"/>
          <w:szCs w:val="24"/>
          <w:lang w:val="en-US" w:eastAsia="zh-CN"/>
        </w:rPr>
        <w:t>-</w:t>
      </w:r>
      <w:r>
        <w:rPr>
          <w:rFonts w:ascii="Times New Roman" w:hAnsi="Times New Roman" w:cs="Times New Roman"/>
          <w:b/>
          <w:i/>
          <w:sz w:val="22"/>
          <w:szCs w:val="24"/>
          <w:lang w:eastAsia="de-DE"/>
        </w:rPr>
        <w:t>based</w:t>
      </w:r>
      <w:r>
        <w:rPr>
          <w:rFonts w:hint="eastAsia" w:ascii="Times New Roman" w:hAnsi="Times New Roman" w:cs="Times New Roman"/>
          <w:b/>
          <w:i/>
          <w:sz w:val="22"/>
          <w:szCs w:val="24"/>
          <w:lang w:val="en-US" w:eastAsia="zh-CN"/>
        </w:rPr>
        <w:t xml:space="preserve"> and UE request-based mechanisms regarding the radio resources allocation request.</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For the issue related to UE reader temporary out-of-connection, WID has restricted to include </w:t>
      </w:r>
      <w:r>
        <w:rPr>
          <w:rFonts w:hint="default" w:ascii="Times New Roman" w:hAnsi="Times New Roman" w:eastAsia="宋体" w:cs="Times New Roman"/>
          <w:kern w:val="0"/>
          <w:sz w:val="20"/>
          <w:szCs w:val="20"/>
          <w:lang w:val="en-US" w:eastAsia="zh-CN" w:bidi="ar-SA"/>
        </w:rPr>
        <w:t>RLF and handover</w:t>
      </w:r>
      <w:r>
        <w:rPr>
          <w:rFonts w:hint="eastAsia" w:ascii="Times New Roman" w:hAnsi="Times New Roman" w:eastAsia="宋体" w:cs="Times New Roman"/>
          <w:kern w:val="0"/>
          <w:sz w:val="20"/>
          <w:szCs w:val="20"/>
          <w:lang w:val="en-US" w:eastAsia="zh-CN" w:bidi="ar-SA"/>
        </w:rPr>
        <w:t xml:space="preserve"> (HO), with no other specific enhancements. Regarding the Uu RLF handling of UE reader, the UE reader can follow the legacy behaviour to initiate RRC re-establishment procedure and suspend the transmission of all RBs in the Uu interface. For the A-IoT air interface, the ongoing A-IoT service shall be suspended as well. After the re-establishment procedure, the UE reader can follow the configuration of the network to resume/re-initiate/stop the A-IoT service.</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As for HO, it is quite likely that the potential HO of the UE reader is under the control of the gNB, since there is no clear need to support the coexistence of A-IoT and UE triggered HO such as CHO. Thus, a simple way might be that the UE reader suspends the A-IoT service during the HO. After HO to the target cell, the UE reader can just follow the configuration of the network, which is similar to the above RLF case.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3</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Uu RLF handling of UE reader, the UE reader follows the legacy behaviour to initiate RRC re-establishment procedure in the </w:t>
      </w:r>
      <w:r>
        <w:rPr>
          <w:rFonts w:hint="eastAsia" w:ascii="Times New Roman" w:hAnsi="Times New Roman" w:cs="Times New Roman" w:eastAsiaTheme="minorEastAsia"/>
          <w:b/>
          <w:i/>
          <w:kern w:val="2"/>
          <w:sz w:val="22"/>
          <w:szCs w:val="24"/>
          <w:lang w:val="en-US" w:eastAsia="zh-CN" w:bidi="ar-SA"/>
        </w:rPr>
        <w:t>Uu</w:t>
      </w:r>
      <w:r>
        <w:rPr>
          <w:rFonts w:ascii="Times New Roman" w:hAnsi="Times New Roman" w:cs="Times New Roman" w:eastAsiaTheme="minorEastAsia"/>
          <w:b/>
          <w:i/>
          <w:kern w:val="2"/>
          <w:sz w:val="22"/>
          <w:szCs w:val="24"/>
          <w:lang w:val="en-US" w:eastAsia="zh-CN" w:bidi="ar-SA"/>
        </w:rPr>
        <w:t xml:space="preserve"> interface.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ascii="Times New Roman" w:hAnsi="Times New Roman" w:cs="Times New Roman" w:eastAsiaTheme="minorEastAsia"/>
          <w:b/>
          <w:i/>
          <w:kern w:val="2"/>
          <w:sz w:val="22"/>
          <w:szCs w:val="24"/>
          <w:lang w:val="en-US" w:eastAsia="zh-CN" w:bidi="ar-SA"/>
        </w:rPr>
        <w:t>4</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HO of the UE reader, the UE reader suspends the ongoing A-IoT service during the HO procedure.</w:t>
      </w:r>
      <w:r>
        <w:rPr>
          <w:rFonts w:hint="eastAsia" w:ascii="Times New Roman" w:hAnsi="Times New Roman" w:cs="Times New Roman"/>
          <w:b/>
          <w:i/>
          <w:kern w:val="2"/>
          <w:sz w:val="22"/>
          <w:szCs w:val="24"/>
          <w:lang w:val="en-US" w:eastAsia="zh-CN" w:bidi="ar-SA"/>
        </w:rPr>
        <w:t xml:space="preserve"> </w:t>
      </w:r>
      <w:r>
        <w:rPr>
          <w:rFonts w:ascii="Times New Roman" w:hAnsi="Times New Roman" w:cs="Times New Roman" w:eastAsiaTheme="minorEastAsia"/>
          <w:b/>
          <w:i/>
          <w:kern w:val="2"/>
          <w:sz w:val="22"/>
          <w:szCs w:val="24"/>
          <w:lang w:val="en-US" w:eastAsia="zh-CN" w:bidi="ar-SA"/>
        </w:rPr>
        <w:t>After HO to the target cell, the UE reader follows the configuration of the network</w:t>
      </w:r>
      <w:r>
        <w:rPr>
          <w:rFonts w:hint="eastAsia" w:ascii="Times New Roman" w:hAnsi="Times New Roman" w:cs="Times New Roman"/>
          <w:b/>
          <w:i/>
          <w:kern w:val="2"/>
          <w:sz w:val="22"/>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ja-JP" w:bidi="ar-SA"/>
        </w:rPr>
        <w:t>For the UE reader selection, it is up to RAN3 and SA2 on whether BS or CN selects the UE reader(s) and what information is shared between BS and CN.</w:t>
      </w:r>
      <w:r>
        <w:rPr>
          <w:rFonts w:hint="eastAsia" w:ascii="Times New Roman" w:hAnsi="Times New Roman" w:eastAsia="宋体" w:cs="Times New Roman"/>
          <w:kern w:val="0"/>
          <w:sz w:val="20"/>
          <w:szCs w:val="20"/>
          <w:lang w:val="en-US" w:eastAsia="zh-CN" w:bidi="ar-SA"/>
        </w:rPr>
        <w:t xml:space="preserve"> From RAN2</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s perspective, before selecting a UE reader and sending the A-IoT radio configuration to a UE reader, the gNB shall get the UE radio capability of A-IoT and decide the configuration accordingly. Regarding the A-IoT UE radio capability as a UE reader, RAN2 can further discuss the details in the stage-3.</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cs="Times New Roman" w:eastAsiaTheme="minorEastAsia"/>
          <w:b/>
          <w:i/>
          <w:kern w:val="2"/>
          <w:sz w:val="22"/>
          <w:szCs w:val="24"/>
          <w:lang w:val="en-US" w:eastAsia="zh-CN" w:bidi="ar-SA"/>
        </w:rPr>
      </w:pPr>
      <w:bookmarkStart w:id="6" w:name="OLE_LINK1"/>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5</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A-IoT Topology 2, the gNB shall get the UE radio capability of A-IoT before sending the A-IoT related configuration. Further details could be discussed in the </w:t>
      </w:r>
      <w:r>
        <w:rPr>
          <w:rFonts w:hint="eastAsia" w:ascii="Times New Roman" w:hAnsi="Times New Roman" w:cs="Times New Roman" w:eastAsiaTheme="minorEastAsia"/>
          <w:b/>
          <w:i/>
          <w:kern w:val="2"/>
          <w:sz w:val="22"/>
          <w:szCs w:val="24"/>
          <w:lang w:val="en-US" w:eastAsia="zh-CN" w:bidi="ar-SA"/>
        </w:rPr>
        <w:t>stage-3.</w:t>
      </w:r>
    </w:p>
    <w:bookmarkEnd w:id="5"/>
    <w:bookmarkEnd w:id="6"/>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ascii="Arial" w:hAnsi="Arial" w:eastAsia="宋体" w:cs="Times New Roman"/>
          <w:kern w:val="0"/>
          <w:sz w:val="36"/>
          <w:szCs w:val="20"/>
          <w:lang w:val="en-GB" w:eastAsia="zh-CN" w:bidi="ar-SA"/>
        </w:rPr>
        <w:t>2.</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 xml:space="preserve">Based on the above analysis, the following proposals are given for </w:t>
      </w:r>
      <w:r>
        <w:rPr>
          <w:rFonts w:hint="eastAsia" w:ascii="Times New Roman" w:hAnsi="Times New Roman" w:eastAsia="宋体" w:cs="Times New Roman"/>
          <w:kern w:val="0"/>
          <w:sz w:val="20"/>
          <w:szCs w:val="20"/>
          <w:lang w:val="en-US" w:eastAsia="zh-CN"/>
        </w:rPr>
        <w:t>Ambient IoT Topology 2.</w:t>
      </w:r>
    </w:p>
    <w:p>
      <w:pPr>
        <w:pStyle w:val="156"/>
        <w:widowControl/>
        <w:adjustRightInd w:val="0"/>
        <w:snapToGrid w:val="0"/>
        <w:spacing w:after="120" w:afterLines="50" w:line="360" w:lineRule="auto"/>
        <w:ind w:firstLine="0" w:firstLineChars="0"/>
        <w:rPr>
          <w:rFonts w:hint="default" w:ascii="Times New Roman" w:hAnsi="Times New Roman" w:cs="Times New Roman" w:eastAsiaTheme="minorEastAsia"/>
          <w:kern w:val="0"/>
          <w:sz w:val="20"/>
          <w:szCs w:val="20"/>
          <w:lang w:val="en-US" w:eastAsia="zh-CN" w:bidi="ar-SA"/>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RAN2 should focus on the RRC-based design to enable the A-IoT Topology 2 operations.</w:t>
      </w:r>
    </w:p>
    <w:p>
      <w:pPr>
        <w:pStyle w:val="156"/>
        <w:widowControl/>
        <w:adjustRightInd w:val="0"/>
        <w:snapToGrid w:val="0"/>
        <w:spacing w:after="120" w:afterLines="50" w:line="360" w:lineRule="auto"/>
        <w:ind w:firstLine="0" w:firstLineChars="0"/>
        <w:rPr>
          <w:rFonts w:eastAsia="宋体"/>
          <w:kern w:val="2"/>
          <w:sz w:val="20"/>
          <w:lang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RAN2 </w:t>
      </w:r>
      <w:r>
        <w:rPr>
          <w:rFonts w:hint="eastAsia" w:ascii="Times New Roman" w:hAnsi="Times New Roman" w:cs="Times New Roman"/>
          <w:b/>
          <w:i/>
          <w:sz w:val="22"/>
          <w:szCs w:val="24"/>
          <w:lang w:val="en-US" w:eastAsia="zh-CN"/>
        </w:rPr>
        <w:t>to</w:t>
      </w:r>
      <w:r>
        <w:rPr>
          <w:rFonts w:hint="eastAsia"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confirm</w:t>
      </w:r>
      <w:r>
        <w:rPr>
          <w:rFonts w:hint="eastAsia" w:ascii="Times New Roman" w:hAnsi="Times New Roman" w:cs="Times New Roman"/>
          <w:b/>
          <w:i/>
          <w:sz w:val="22"/>
          <w:szCs w:val="24"/>
        </w:rPr>
        <w:t xml:space="preserve"> support</w:t>
      </w:r>
      <w:r>
        <w:rPr>
          <w:rFonts w:hint="eastAsia" w:ascii="Times New Roman" w:hAnsi="Times New Roman" w:cs="Times New Roman"/>
          <w:b/>
          <w:i/>
          <w:sz w:val="22"/>
          <w:szCs w:val="24"/>
          <w:lang w:val="en-US" w:eastAsia="zh-CN"/>
        </w:rPr>
        <w:t xml:space="preserve"> for both the </w:t>
      </w:r>
      <w:r>
        <w:rPr>
          <w:rFonts w:ascii="Times New Roman" w:hAnsi="Times New Roman" w:cs="Times New Roman"/>
          <w:b/>
          <w:i/>
          <w:sz w:val="22"/>
          <w:szCs w:val="24"/>
          <w:lang w:eastAsia="de-DE"/>
        </w:rPr>
        <w:t>CN indication</w:t>
      </w:r>
      <w:r>
        <w:rPr>
          <w:rFonts w:hint="eastAsia" w:ascii="Times New Roman" w:hAnsi="Times New Roman" w:cs="Times New Roman"/>
          <w:b/>
          <w:i/>
          <w:sz w:val="22"/>
          <w:szCs w:val="24"/>
          <w:lang w:val="en-US" w:eastAsia="zh-CN"/>
        </w:rPr>
        <w:t>-</w:t>
      </w:r>
      <w:r>
        <w:rPr>
          <w:rFonts w:ascii="Times New Roman" w:hAnsi="Times New Roman" w:cs="Times New Roman"/>
          <w:b/>
          <w:i/>
          <w:sz w:val="22"/>
          <w:szCs w:val="24"/>
          <w:lang w:eastAsia="de-DE"/>
        </w:rPr>
        <w:t>based</w:t>
      </w:r>
      <w:r>
        <w:rPr>
          <w:rFonts w:hint="eastAsia" w:ascii="Times New Roman" w:hAnsi="Times New Roman" w:cs="Times New Roman"/>
          <w:b/>
          <w:i/>
          <w:sz w:val="22"/>
          <w:szCs w:val="24"/>
          <w:lang w:val="en-US" w:eastAsia="zh-CN"/>
        </w:rPr>
        <w:t xml:space="preserve"> and UE request-based mechanisms regarding the radio resources allocation request.</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3</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Uu RLF handling of UE reader, the UE reader follows the legacy behaviour to initiate RRC re-establishment procedure in the </w:t>
      </w:r>
      <w:r>
        <w:rPr>
          <w:rFonts w:hint="eastAsia" w:ascii="Times New Roman" w:hAnsi="Times New Roman" w:cs="Times New Roman" w:eastAsiaTheme="minorEastAsia"/>
          <w:b/>
          <w:i/>
          <w:kern w:val="2"/>
          <w:sz w:val="22"/>
          <w:szCs w:val="24"/>
          <w:lang w:val="en-US" w:eastAsia="zh-CN" w:bidi="ar-SA"/>
        </w:rPr>
        <w:t>Uu</w:t>
      </w:r>
      <w:r>
        <w:rPr>
          <w:rFonts w:ascii="Times New Roman" w:hAnsi="Times New Roman" w:cs="Times New Roman" w:eastAsiaTheme="minorEastAsia"/>
          <w:b/>
          <w:i/>
          <w:kern w:val="2"/>
          <w:sz w:val="22"/>
          <w:szCs w:val="24"/>
          <w:lang w:val="en-US" w:eastAsia="zh-CN" w:bidi="ar-SA"/>
        </w:rPr>
        <w:t xml:space="preserve"> interface.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ascii="Times New Roman" w:hAnsi="Times New Roman" w:cs="Times New Roman" w:eastAsiaTheme="minorEastAsia"/>
          <w:b/>
          <w:i/>
          <w:kern w:val="2"/>
          <w:sz w:val="22"/>
          <w:szCs w:val="24"/>
          <w:lang w:val="en-US" w:eastAsia="zh-CN" w:bidi="ar-SA"/>
        </w:rPr>
        <w:t>4</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HO of the UE reader, the UE reader suspends the ongoing A-IoT service during the HO procedure.</w:t>
      </w:r>
      <w:r>
        <w:rPr>
          <w:rFonts w:hint="eastAsia" w:ascii="Times New Roman" w:hAnsi="Times New Roman" w:cs="Times New Roman"/>
          <w:b/>
          <w:i/>
          <w:kern w:val="2"/>
          <w:sz w:val="22"/>
          <w:szCs w:val="24"/>
          <w:lang w:val="en-US" w:eastAsia="zh-CN" w:bidi="ar-SA"/>
        </w:rPr>
        <w:t xml:space="preserve"> </w:t>
      </w:r>
      <w:r>
        <w:rPr>
          <w:rFonts w:ascii="Times New Roman" w:hAnsi="Times New Roman" w:cs="Times New Roman" w:eastAsiaTheme="minorEastAsia"/>
          <w:b/>
          <w:i/>
          <w:kern w:val="2"/>
          <w:sz w:val="22"/>
          <w:szCs w:val="24"/>
          <w:lang w:val="en-US" w:eastAsia="zh-CN" w:bidi="ar-SA"/>
        </w:rPr>
        <w:t>After HO to the target cell, the UE reader follows the configuration of the network</w:t>
      </w:r>
      <w:r>
        <w:rPr>
          <w:rFonts w:hint="eastAsia" w:ascii="Times New Roman" w:hAnsi="Times New Roman" w:cs="Times New Roman"/>
          <w:b/>
          <w:i/>
          <w:kern w:val="2"/>
          <w:sz w:val="22"/>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eastAsia="宋体" w:cs="Times New Roman"/>
          <w:kern w:val="0"/>
          <w:sz w:val="20"/>
          <w:szCs w:val="20"/>
          <w:lang w:val="en-US" w:eastAsia="zh-CN"/>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5</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A-IoT Topology 2, the gNB shall get the UE radio capability of A-IoT before sending the A-IoT related configuration. Further details could be discussed in the </w:t>
      </w:r>
      <w:r>
        <w:rPr>
          <w:rFonts w:hint="eastAsia" w:ascii="Times New Roman" w:hAnsi="Times New Roman" w:cs="Times New Roman" w:eastAsiaTheme="minorEastAsia"/>
          <w:b/>
          <w:i/>
          <w:kern w:val="2"/>
          <w:sz w:val="22"/>
          <w:szCs w:val="24"/>
          <w:lang w:val="en-US" w:eastAsia="zh-CN" w:bidi="ar-SA"/>
        </w:rPr>
        <w:t>stage-3.</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20"/>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RP-252894</w:t>
      </w:r>
      <w:r>
        <w:rPr>
          <w:rFonts w:hint="eastAsia" w:ascii="Times New Roman" w:hAnsi="Times New Roman" w:eastAsia="宋体" w:cs="Times New Roman"/>
          <w:kern w:val="0"/>
          <w:sz w:val="20"/>
          <w:szCs w:val="20"/>
          <w:lang w:val="en-US" w:eastAsia="zh-CN"/>
        </w:rPr>
        <w:t xml:space="preserve"> Revised WI: Solutions for Ambient IoT (Internet of Things) in NR Phase 2.</w:t>
      </w:r>
    </w:p>
    <w:p>
      <w:pPr>
        <w:keepNext w:val="0"/>
        <w:keepLines w:val="0"/>
        <w:pageBreakBefore w:val="0"/>
        <w:widowControl w:val="0"/>
        <w:numPr>
          <w:ilvl w:val="0"/>
          <w:numId w:val="20"/>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default" w:ascii="Times New Roman" w:hAnsi="Times New Roman" w:eastAsia="宋体" w:cs="Times New Roman"/>
          <w:kern w:val="0"/>
          <w:sz w:val="20"/>
          <w:szCs w:val="20"/>
          <w:lang w:val="en-US" w:eastAsia="zh-CN"/>
        </w:rPr>
      </w:pPr>
      <w:r>
        <w:rPr>
          <w:rFonts w:ascii="Times New Roman" w:hAnsi="Times New Roman" w:eastAsia="等线" w:cs="Times New Roman"/>
          <w:sz w:val="20"/>
          <w:szCs w:val="20"/>
          <w:lang w:eastAsia="zh-CN"/>
        </w:rPr>
        <w:t>SP-250834, NEW SID on Architecture support of Ambient power-enabled Internet of Things - Phase 2</w:t>
      </w:r>
      <w:r>
        <w:rPr>
          <w:rFonts w:hint="eastAsia" w:ascii="Times New Roman" w:hAnsi="Times New Roman" w:eastAsia="等线" w:cs="Times New Roman"/>
          <w:sz w:val="20"/>
          <w:szCs w:val="20"/>
          <w:lang w:val="en-US" w:eastAsia="zh-CN"/>
        </w:rPr>
        <w:t>.</w:t>
      </w: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57AC4"/>
    <w:multiLevelType w:val="singleLevel"/>
    <w:tmpl w:val="89A57AC4"/>
    <w:lvl w:ilvl="0" w:tentative="0">
      <w:start w:val="2"/>
      <w:numFmt w:val="decimal"/>
      <w:suff w:val="space"/>
      <w:lvlText w:val="%1."/>
      <w:lvlJc w:val="left"/>
    </w:lvl>
  </w:abstractNum>
  <w:abstractNum w:abstractNumId="1">
    <w:nsid w:val="DDC42099"/>
    <w:multiLevelType w:val="singleLevel"/>
    <w:tmpl w:val="DDC4209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2">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4">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6">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7">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9">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19"/>
  </w:num>
  <w:num w:numId="8">
    <w:abstractNumId w:val="9"/>
  </w:num>
  <w:num w:numId="9">
    <w:abstractNumId w:val="6"/>
  </w:num>
  <w:num w:numId="10">
    <w:abstractNumId w:val="3"/>
  </w:num>
  <w:num w:numId="11">
    <w:abstractNumId w:val="2"/>
  </w:num>
  <w:num w:numId="12">
    <w:abstractNumId w:val="17"/>
  </w:num>
  <w:num w:numId="13">
    <w:abstractNumId w:val="14"/>
  </w:num>
  <w:num w:numId="14">
    <w:abstractNumId w:val="15"/>
  </w:num>
  <w:num w:numId="15">
    <w:abstractNumId w:val="12"/>
  </w:num>
  <w:num w:numId="16">
    <w:abstractNumId w:val="18"/>
  </w:num>
  <w:num w:numId="17">
    <w:abstractNumId w:val="13"/>
  </w:num>
  <w:num w:numId="18">
    <w:abstractNumId w:val="16"/>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24551"/>
    <w:rsid w:val="016347D7"/>
    <w:rsid w:val="01923B0A"/>
    <w:rsid w:val="01AA7149"/>
    <w:rsid w:val="01D03B06"/>
    <w:rsid w:val="02E76B51"/>
    <w:rsid w:val="02FA5B72"/>
    <w:rsid w:val="031125B9"/>
    <w:rsid w:val="0329503C"/>
    <w:rsid w:val="039D4465"/>
    <w:rsid w:val="03F66D0E"/>
    <w:rsid w:val="042102C1"/>
    <w:rsid w:val="04375CBF"/>
    <w:rsid w:val="044A0997"/>
    <w:rsid w:val="04B34B43"/>
    <w:rsid w:val="04D17976"/>
    <w:rsid w:val="054E4D41"/>
    <w:rsid w:val="057C458C"/>
    <w:rsid w:val="058058AC"/>
    <w:rsid w:val="059D1CD7"/>
    <w:rsid w:val="05BD1814"/>
    <w:rsid w:val="05DA4EBC"/>
    <w:rsid w:val="05E277B3"/>
    <w:rsid w:val="05E47CE4"/>
    <w:rsid w:val="05F27A4D"/>
    <w:rsid w:val="061D7998"/>
    <w:rsid w:val="06231EE3"/>
    <w:rsid w:val="06334EE0"/>
    <w:rsid w:val="06904561"/>
    <w:rsid w:val="06F32496"/>
    <w:rsid w:val="070C181F"/>
    <w:rsid w:val="07770ECE"/>
    <w:rsid w:val="07A71963"/>
    <w:rsid w:val="081751D4"/>
    <w:rsid w:val="082E2BFB"/>
    <w:rsid w:val="0834182C"/>
    <w:rsid w:val="084F3F16"/>
    <w:rsid w:val="08A53B3F"/>
    <w:rsid w:val="08B56357"/>
    <w:rsid w:val="08DB335B"/>
    <w:rsid w:val="08E81E12"/>
    <w:rsid w:val="09705425"/>
    <w:rsid w:val="09BF428B"/>
    <w:rsid w:val="09CE48A6"/>
    <w:rsid w:val="09DE4A06"/>
    <w:rsid w:val="0A35554F"/>
    <w:rsid w:val="0A9D1518"/>
    <w:rsid w:val="0B4F36C4"/>
    <w:rsid w:val="0B7308DD"/>
    <w:rsid w:val="0B8E538E"/>
    <w:rsid w:val="0BAF57FE"/>
    <w:rsid w:val="0BF6772E"/>
    <w:rsid w:val="0C053C2E"/>
    <w:rsid w:val="0C3E7B22"/>
    <w:rsid w:val="0C747FFC"/>
    <w:rsid w:val="0C94785C"/>
    <w:rsid w:val="0C97466E"/>
    <w:rsid w:val="0CC051C1"/>
    <w:rsid w:val="0D7B4307"/>
    <w:rsid w:val="0D8C535C"/>
    <w:rsid w:val="0D906017"/>
    <w:rsid w:val="0DA2082D"/>
    <w:rsid w:val="0DC573BC"/>
    <w:rsid w:val="0DCF2837"/>
    <w:rsid w:val="0DD1524A"/>
    <w:rsid w:val="0DE201D3"/>
    <w:rsid w:val="0DF208EC"/>
    <w:rsid w:val="0EA36093"/>
    <w:rsid w:val="0EC15643"/>
    <w:rsid w:val="0F747C86"/>
    <w:rsid w:val="0F852E02"/>
    <w:rsid w:val="0FD30983"/>
    <w:rsid w:val="0FF718A6"/>
    <w:rsid w:val="0FFB6025"/>
    <w:rsid w:val="10083C9F"/>
    <w:rsid w:val="10B7034C"/>
    <w:rsid w:val="11046252"/>
    <w:rsid w:val="11130582"/>
    <w:rsid w:val="113F3DEC"/>
    <w:rsid w:val="11624912"/>
    <w:rsid w:val="11A3317D"/>
    <w:rsid w:val="11AB188E"/>
    <w:rsid w:val="12332647"/>
    <w:rsid w:val="12FD2134"/>
    <w:rsid w:val="130265BC"/>
    <w:rsid w:val="130C6ECC"/>
    <w:rsid w:val="134B7CB5"/>
    <w:rsid w:val="135A4A4C"/>
    <w:rsid w:val="13736C4B"/>
    <w:rsid w:val="1382238D"/>
    <w:rsid w:val="143035BA"/>
    <w:rsid w:val="14C41AA0"/>
    <w:rsid w:val="14F642F9"/>
    <w:rsid w:val="1537655C"/>
    <w:rsid w:val="155462C6"/>
    <w:rsid w:val="155C2F18"/>
    <w:rsid w:val="15940D3F"/>
    <w:rsid w:val="15BA32B2"/>
    <w:rsid w:val="15C23F41"/>
    <w:rsid w:val="15EF5D0A"/>
    <w:rsid w:val="166F4160"/>
    <w:rsid w:val="1696521E"/>
    <w:rsid w:val="169A3446"/>
    <w:rsid w:val="16CE5378"/>
    <w:rsid w:val="17364B70"/>
    <w:rsid w:val="176048E7"/>
    <w:rsid w:val="17636AF8"/>
    <w:rsid w:val="17776A8B"/>
    <w:rsid w:val="177A3B5A"/>
    <w:rsid w:val="178725A8"/>
    <w:rsid w:val="17C2269C"/>
    <w:rsid w:val="17C31108"/>
    <w:rsid w:val="17EE3247"/>
    <w:rsid w:val="180453F5"/>
    <w:rsid w:val="18095983"/>
    <w:rsid w:val="180B4D80"/>
    <w:rsid w:val="183563D5"/>
    <w:rsid w:val="188126FA"/>
    <w:rsid w:val="188A1105"/>
    <w:rsid w:val="188A3040"/>
    <w:rsid w:val="18AD187A"/>
    <w:rsid w:val="18FD6EB0"/>
    <w:rsid w:val="196C36C2"/>
    <w:rsid w:val="19DC4FFB"/>
    <w:rsid w:val="19E70E0E"/>
    <w:rsid w:val="1A001012"/>
    <w:rsid w:val="1A9D2DFB"/>
    <w:rsid w:val="1AAF5F88"/>
    <w:rsid w:val="1AD269B7"/>
    <w:rsid w:val="1B6E7990"/>
    <w:rsid w:val="1BA76221"/>
    <w:rsid w:val="1BC46583"/>
    <w:rsid w:val="1C9828F5"/>
    <w:rsid w:val="1CA51CE8"/>
    <w:rsid w:val="1CBC79A9"/>
    <w:rsid w:val="1CE85325"/>
    <w:rsid w:val="1D1F3AD3"/>
    <w:rsid w:val="1D3B3A62"/>
    <w:rsid w:val="1D8D2F01"/>
    <w:rsid w:val="1DAC27BE"/>
    <w:rsid w:val="1DAC2BE5"/>
    <w:rsid w:val="1DEC08F8"/>
    <w:rsid w:val="1E4538B6"/>
    <w:rsid w:val="1E480D33"/>
    <w:rsid w:val="1E8A0B27"/>
    <w:rsid w:val="1E902568"/>
    <w:rsid w:val="1EEB78C7"/>
    <w:rsid w:val="1F63408D"/>
    <w:rsid w:val="1F7222FA"/>
    <w:rsid w:val="1FC30874"/>
    <w:rsid w:val="200D4526"/>
    <w:rsid w:val="202D6FD9"/>
    <w:rsid w:val="20531999"/>
    <w:rsid w:val="20901F59"/>
    <w:rsid w:val="20A11AB0"/>
    <w:rsid w:val="20A34A1A"/>
    <w:rsid w:val="20B72208"/>
    <w:rsid w:val="20EC6113"/>
    <w:rsid w:val="20EE004B"/>
    <w:rsid w:val="21571F96"/>
    <w:rsid w:val="21B76116"/>
    <w:rsid w:val="22054661"/>
    <w:rsid w:val="220C3FEC"/>
    <w:rsid w:val="221D1702"/>
    <w:rsid w:val="226E5336"/>
    <w:rsid w:val="22C16F92"/>
    <w:rsid w:val="22E55ECD"/>
    <w:rsid w:val="22E57D9C"/>
    <w:rsid w:val="22FD3574"/>
    <w:rsid w:val="230A3782"/>
    <w:rsid w:val="23681EC9"/>
    <w:rsid w:val="23761926"/>
    <w:rsid w:val="23CC7EC0"/>
    <w:rsid w:val="24051BA8"/>
    <w:rsid w:val="24553B0C"/>
    <w:rsid w:val="2482485F"/>
    <w:rsid w:val="249F6523"/>
    <w:rsid w:val="258724D7"/>
    <w:rsid w:val="25F51053"/>
    <w:rsid w:val="2601616B"/>
    <w:rsid w:val="263F3343"/>
    <w:rsid w:val="27511310"/>
    <w:rsid w:val="2759091B"/>
    <w:rsid w:val="275F2824"/>
    <w:rsid w:val="27BF73C5"/>
    <w:rsid w:val="27D150E1"/>
    <w:rsid w:val="2810445B"/>
    <w:rsid w:val="28165655"/>
    <w:rsid w:val="281D775F"/>
    <w:rsid w:val="28275AF0"/>
    <w:rsid w:val="28854AD1"/>
    <w:rsid w:val="28A563BE"/>
    <w:rsid w:val="28D44C9D"/>
    <w:rsid w:val="28DE3F9A"/>
    <w:rsid w:val="291B3DFF"/>
    <w:rsid w:val="29215D08"/>
    <w:rsid w:val="293D1DB5"/>
    <w:rsid w:val="29627BC5"/>
    <w:rsid w:val="29645895"/>
    <w:rsid w:val="29B77500"/>
    <w:rsid w:val="29E4170D"/>
    <w:rsid w:val="29EF6EF2"/>
    <w:rsid w:val="29F67C23"/>
    <w:rsid w:val="2A2420B3"/>
    <w:rsid w:val="2A583806"/>
    <w:rsid w:val="2AB22C1B"/>
    <w:rsid w:val="2AF46F08"/>
    <w:rsid w:val="2B1D6992"/>
    <w:rsid w:val="2BB4773C"/>
    <w:rsid w:val="2BCE466D"/>
    <w:rsid w:val="2C1E78EF"/>
    <w:rsid w:val="2C2262F5"/>
    <w:rsid w:val="2C300E8E"/>
    <w:rsid w:val="2C5113C3"/>
    <w:rsid w:val="2C7B2207"/>
    <w:rsid w:val="2CAC1213"/>
    <w:rsid w:val="2CC77187"/>
    <w:rsid w:val="2DA66471"/>
    <w:rsid w:val="2DD16E0D"/>
    <w:rsid w:val="2E402DEC"/>
    <w:rsid w:val="2E8344C8"/>
    <w:rsid w:val="2ECF17F7"/>
    <w:rsid w:val="2EFE1C75"/>
    <w:rsid w:val="2F1F05DC"/>
    <w:rsid w:val="2F3D44F7"/>
    <w:rsid w:val="2FAE604C"/>
    <w:rsid w:val="2FB9045A"/>
    <w:rsid w:val="2FE616C0"/>
    <w:rsid w:val="30191835"/>
    <w:rsid w:val="30A91F61"/>
    <w:rsid w:val="3105267B"/>
    <w:rsid w:val="317C583F"/>
    <w:rsid w:val="31863ECE"/>
    <w:rsid w:val="31BB6926"/>
    <w:rsid w:val="31E569A9"/>
    <w:rsid w:val="3261245E"/>
    <w:rsid w:val="32A233A1"/>
    <w:rsid w:val="333124C1"/>
    <w:rsid w:val="33421C25"/>
    <w:rsid w:val="33995EB7"/>
    <w:rsid w:val="33A63DAB"/>
    <w:rsid w:val="33B00F80"/>
    <w:rsid w:val="33D37459"/>
    <w:rsid w:val="34413D46"/>
    <w:rsid w:val="34643001"/>
    <w:rsid w:val="349E665E"/>
    <w:rsid w:val="34DB1112"/>
    <w:rsid w:val="351C3576"/>
    <w:rsid w:val="358024D4"/>
    <w:rsid w:val="35AF0C16"/>
    <w:rsid w:val="35E129CB"/>
    <w:rsid w:val="35FE0421"/>
    <w:rsid w:val="35FE2DA3"/>
    <w:rsid w:val="36231CDE"/>
    <w:rsid w:val="36561233"/>
    <w:rsid w:val="366208C9"/>
    <w:rsid w:val="368564FF"/>
    <w:rsid w:val="369A2C21"/>
    <w:rsid w:val="36D76309"/>
    <w:rsid w:val="37617FCF"/>
    <w:rsid w:val="3794799E"/>
    <w:rsid w:val="37AC3905"/>
    <w:rsid w:val="37BA37BC"/>
    <w:rsid w:val="37C75C12"/>
    <w:rsid w:val="37CD7B1B"/>
    <w:rsid w:val="37D00A9F"/>
    <w:rsid w:val="37FA18E4"/>
    <w:rsid w:val="389926E7"/>
    <w:rsid w:val="38C12712"/>
    <w:rsid w:val="39324E64"/>
    <w:rsid w:val="39635633"/>
    <w:rsid w:val="39702742"/>
    <w:rsid w:val="3981700C"/>
    <w:rsid w:val="39C87543"/>
    <w:rsid w:val="3A2F68BD"/>
    <w:rsid w:val="3AAA11CD"/>
    <w:rsid w:val="3AF060BE"/>
    <w:rsid w:val="3B266E9D"/>
    <w:rsid w:val="3B7B22CC"/>
    <w:rsid w:val="3B7F24AA"/>
    <w:rsid w:val="3B9A4359"/>
    <w:rsid w:val="3BF511EF"/>
    <w:rsid w:val="3C2760B3"/>
    <w:rsid w:val="3C2B1D49"/>
    <w:rsid w:val="3C876732"/>
    <w:rsid w:val="3C8D4BE6"/>
    <w:rsid w:val="3CCC59CF"/>
    <w:rsid w:val="3D07322A"/>
    <w:rsid w:val="3D133F53"/>
    <w:rsid w:val="3D407F0C"/>
    <w:rsid w:val="3D6830C4"/>
    <w:rsid w:val="3DC36006"/>
    <w:rsid w:val="3E640997"/>
    <w:rsid w:val="3EDC58F6"/>
    <w:rsid w:val="3EEF1AD2"/>
    <w:rsid w:val="3F890D4B"/>
    <w:rsid w:val="3F9B62FD"/>
    <w:rsid w:val="3FBB1942"/>
    <w:rsid w:val="3FE40160"/>
    <w:rsid w:val="401B2838"/>
    <w:rsid w:val="4057146E"/>
    <w:rsid w:val="405939A2"/>
    <w:rsid w:val="40830F63"/>
    <w:rsid w:val="40D432EC"/>
    <w:rsid w:val="40DC30EE"/>
    <w:rsid w:val="40F819A3"/>
    <w:rsid w:val="4141261B"/>
    <w:rsid w:val="414C642D"/>
    <w:rsid w:val="41905C1D"/>
    <w:rsid w:val="41A13939"/>
    <w:rsid w:val="41B30DBC"/>
    <w:rsid w:val="41BF2EE9"/>
    <w:rsid w:val="41CB46E9"/>
    <w:rsid w:val="41E47950"/>
    <w:rsid w:val="42730227"/>
    <w:rsid w:val="42CD30A6"/>
    <w:rsid w:val="42EC5ED9"/>
    <w:rsid w:val="42F6426B"/>
    <w:rsid w:val="43572665"/>
    <w:rsid w:val="436E45B0"/>
    <w:rsid w:val="43861D09"/>
    <w:rsid w:val="43B1499E"/>
    <w:rsid w:val="43C83A33"/>
    <w:rsid w:val="4401605A"/>
    <w:rsid w:val="44BC6155"/>
    <w:rsid w:val="44BF3856"/>
    <w:rsid w:val="44D3502E"/>
    <w:rsid w:val="44E42450"/>
    <w:rsid w:val="44FD6BBE"/>
    <w:rsid w:val="45300692"/>
    <w:rsid w:val="45864F94"/>
    <w:rsid w:val="45AA0617"/>
    <w:rsid w:val="45B75102"/>
    <w:rsid w:val="460203BC"/>
    <w:rsid w:val="460E4ACA"/>
    <w:rsid w:val="461F7F9A"/>
    <w:rsid w:val="4620554E"/>
    <w:rsid w:val="462C5BD6"/>
    <w:rsid w:val="46367BC0"/>
    <w:rsid w:val="464004CF"/>
    <w:rsid w:val="464469C3"/>
    <w:rsid w:val="467C4AB1"/>
    <w:rsid w:val="47293CD0"/>
    <w:rsid w:val="478D5F73"/>
    <w:rsid w:val="47C34DC8"/>
    <w:rsid w:val="47C64D69"/>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F667A1"/>
    <w:rsid w:val="4B270CDD"/>
    <w:rsid w:val="4B357FF2"/>
    <w:rsid w:val="4B4E035E"/>
    <w:rsid w:val="4B5E7B32"/>
    <w:rsid w:val="4B5F643E"/>
    <w:rsid w:val="4B7E16EB"/>
    <w:rsid w:val="4B917087"/>
    <w:rsid w:val="4BB835B6"/>
    <w:rsid w:val="4BE95517"/>
    <w:rsid w:val="4C33574D"/>
    <w:rsid w:val="4C63431C"/>
    <w:rsid w:val="4C6D57EC"/>
    <w:rsid w:val="4D0363AD"/>
    <w:rsid w:val="4D0619FF"/>
    <w:rsid w:val="4D9A0994"/>
    <w:rsid w:val="4DC61225"/>
    <w:rsid w:val="4DE07BD1"/>
    <w:rsid w:val="4E816CDB"/>
    <w:rsid w:val="4F051F32"/>
    <w:rsid w:val="4F522031"/>
    <w:rsid w:val="4F80187B"/>
    <w:rsid w:val="4F8E4414"/>
    <w:rsid w:val="4FA17831"/>
    <w:rsid w:val="4FB94ED8"/>
    <w:rsid w:val="4FDA045F"/>
    <w:rsid w:val="50803722"/>
    <w:rsid w:val="50877A6C"/>
    <w:rsid w:val="50891D2D"/>
    <w:rsid w:val="5098746C"/>
    <w:rsid w:val="50A3118B"/>
    <w:rsid w:val="50CE033F"/>
    <w:rsid w:val="50E23A41"/>
    <w:rsid w:val="50F0440A"/>
    <w:rsid w:val="511E0023"/>
    <w:rsid w:val="512C0A59"/>
    <w:rsid w:val="51427728"/>
    <w:rsid w:val="51597A9B"/>
    <w:rsid w:val="51FA6427"/>
    <w:rsid w:val="520738B2"/>
    <w:rsid w:val="52545EA1"/>
    <w:rsid w:val="525E4232"/>
    <w:rsid w:val="52611934"/>
    <w:rsid w:val="52686D40"/>
    <w:rsid w:val="526E64E1"/>
    <w:rsid w:val="52A1019F"/>
    <w:rsid w:val="52D82877"/>
    <w:rsid w:val="52E73D22"/>
    <w:rsid w:val="52EC2D03"/>
    <w:rsid w:val="530C7BB5"/>
    <w:rsid w:val="53213033"/>
    <w:rsid w:val="5328717E"/>
    <w:rsid w:val="532F62A8"/>
    <w:rsid w:val="534D06B4"/>
    <w:rsid w:val="534F4E11"/>
    <w:rsid w:val="53654EFF"/>
    <w:rsid w:val="537B3642"/>
    <w:rsid w:val="537F2FC7"/>
    <w:rsid w:val="53AA52E3"/>
    <w:rsid w:val="53C01DE8"/>
    <w:rsid w:val="53C9440B"/>
    <w:rsid w:val="53E20B6E"/>
    <w:rsid w:val="54032364"/>
    <w:rsid w:val="540909EB"/>
    <w:rsid w:val="5454111A"/>
    <w:rsid w:val="54684287"/>
    <w:rsid w:val="550B05D6"/>
    <w:rsid w:val="55122522"/>
    <w:rsid w:val="554B00FD"/>
    <w:rsid w:val="559F40AD"/>
    <w:rsid w:val="55B7742C"/>
    <w:rsid w:val="55F62501"/>
    <w:rsid w:val="56006CBD"/>
    <w:rsid w:val="56242DB2"/>
    <w:rsid w:val="562B0E5B"/>
    <w:rsid w:val="56313B8B"/>
    <w:rsid w:val="56C97D2A"/>
    <w:rsid w:val="57260908"/>
    <w:rsid w:val="583C46C3"/>
    <w:rsid w:val="58664B17"/>
    <w:rsid w:val="590B4042"/>
    <w:rsid w:val="592B1245"/>
    <w:rsid w:val="59433201"/>
    <w:rsid w:val="595F092C"/>
    <w:rsid w:val="59656C38"/>
    <w:rsid w:val="59B36D38"/>
    <w:rsid w:val="59BE6718"/>
    <w:rsid w:val="59FD5EB2"/>
    <w:rsid w:val="5A945FE1"/>
    <w:rsid w:val="5AB94067"/>
    <w:rsid w:val="5AD1390C"/>
    <w:rsid w:val="5AF2428E"/>
    <w:rsid w:val="5AFB17C0"/>
    <w:rsid w:val="5B673C65"/>
    <w:rsid w:val="5B836FB3"/>
    <w:rsid w:val="5BB000E1"/>
    <w:rsid w:val="5BE875A8"/>
    <w:rsid w:val="5C422A2F"/>
    <w:rsid w:val="5C692729"/>
    <w:rsid w:val="5C6D1E50"/>
    <w:rsid w:val="5C8C272D"/>
    <w:rsid w:val="5CC475BF"/>
    <w:rsid w:val="5CC62AC2"/>
    <w:rsid w:val="5CDE5F6B"/>
    <w:rsid w:val="5D211ED7"/>
    <w:rsid w:val="5D4362C1"/>
    <w:rsid w:val="5D7F5DD7"/>
    <w:rsid w:val="5D946993"/>
    <w:rsid w:val="5DA96938"/>
    <w:rsid w:val="5DE271F3"/>
    <w:rsid w:val="5DFC0B37"/>
    <w:rsid w:val="5DFD6972"/>
    <w:rsid w:val="5E142764"/>
    <w:rsid w:val="5EAD1F71"/>
    <w:rsid w:val="5EB21369"/>
    <w:rsid w:val="5EE842C4"/>
    <w:rsid w:val="5EFF5265"/>
    <w:rsid w:val="5F0C4760"/>
    <w:rsid w:val="5F25254F"/>
    <w:rsid w:val="5F3C12CD"/>
    <w:rsid w:val="5F777E2D"/>
    <w:rsid w:val="5F8116DF"/>
    <w:rsid w:val="5F9573DD"/>
    <w:rsid w:val="5F9F7CED"/>
    <w:rsid w:val="5FB85324"/>
    <w:rsid w:val="5FC24A29"/>
    <w:rsid w:val="5FFD5B08"/>
    <w:rsid w:val="600F7B2E"/>
    <w:rsid w:val="6030554B"/>
    <w:rsid w:val="60423F87"/>
    <w:rsid w:val="604C110A"/>
    <w:rsid w:val="60507B10"/>
    <w:rsid w:val="605C13A4"/>
    <w:rsid w:val="605E7463"/>
    <w:rsid w:val="60767D50"/>
    <w:rsid w:val="60805DB4"/>
    <w:rsid w:val="610D6FCA"/>
    <w:rsid w:val="612D1A7D"/>
    <w:rsid w:val="612E74FF"/>
    <w:rsid w:val="61946EA3"/>
    <w:rsid w:val="619501A8"/>
    <w:rsid w:val="61C4248D"/>
    <w:rsid w:val="61D31386"/>
    <w:rsid w:val="63983C0C"/>
    <w:rsid w:val="63AD0817"/>
    <w:rsid w:val="63B36E9D"/>
    <w:rsid w:val="6444420E"/>
    <w:rsid w:val="646060BC"/>
    <w:rsid w:val="64725FD6"/>
    <w:rsid w:val="64A5552C"/>
    <w:rsid w:val="64B322C3"/>
    <w:rsid w:val="64D72281"/>
    <w:rsid w:val="65A11F4C"/>
    <w:rsid w:val="65BF0083"/>
    <w:rsid w:val="66A164FD"/>
    <w:rsid w:val="66C023A3"/>
    <w:rsid w:val="66C303CC"/>
    <w:rsid w:val="67380005"/>
    <w:rsid w:val="67693AB6"/>
    <w:rsid w:val="67731E47"/>
    <w:rsid w:val="67A44560"/>
    <w:rsid w:val="67E81E06"/>
    <w:rsid w:val="67F22715"/>
    <w:rsid w:val="688F2246"/>
    <w:rsid w:val="68981FA9"/>
    <w:rsid w:val="693A17B3"/>
    <w:rsid w:val="694950B2"/>
    <w:rsid w:val="694D731F"/>
    <w:rsid w:val="69C9143A"/>
    <w:rsid w:val="69D4612E"/>
    <w:rsid w:val="69E90652"/>
    <w:rsid w:val="69FD4F9F"/>
    <w:rsid w:val="6A48066B"/>
    <w:rsid w:val="6A4F0A33"/>
    <w:rsid w:val="6A9F68FE"/>
    <w:rsid w:val="6AC60F39"/>
    <w:rsid w:val="6AE22B88"/>
    <w:rsid w:val="6B0A61AB"/>
    <w:rsid w:val="6B177A3F"/>
    <w:rsid w:val="6B40098D"/>
    <w:rsid w:val="6B665D8D"/>
    <w:rsid w:val="6BDA0E02"/>
    <w:rsid w:val="6BE317C6"/>
    <w:rsid w:val="6C030941"/>
    <w:rsid w:val="6C2B298A"/>
    <w:rsid w:val="6C3A079D"/>
    <w:rsid w:val="6C546C95"/>
    <w:rsid w:val="6C9F7F81"/>
    <w:rsid w:val="6D1B417D"/>
    <w:rsid w:val="6D4270CF"/>
    <w:rsid w:val="6DFA687D"/>
    <w:rsid w:val="6E2B704C"/>
    <w:rsid w:val="6E9375A1"/>
    <w:rsid w:val="6EE874C4"/>
    <w:rsid w:val="6F4668FB"/>
    <w:rsid w:val="6F873A86"/>
    <w:rsid w:val="6FCF76FD"/>
    <w:rsid w:val="6FE67322"/>
    <w:rsid w:val="6FF675BD"/>
    <w:rsid w:val="704354BE"/>
    <w:rsid w:val="7064619C"/>
    <w:rsid w:val="708C3C73"/>
    <w:rsid w:val="70901D3A"/>
    <w:rsid w:val="70A409DA"/>
    <w:rsid w:val="71080641"/>
    <w:rsid w:val="711E4713"/>
    <w:rsid w:val="7156627F"/>
    <w:rsid w:val="7165689A"/>
    <w:rsid w:val="71770297"/>
    <w:rsid w:val="71D578DE"/>
    <w:rsid w:val="71FD6CA3"/>
    <w:rsid w:val="721708BC"/>
    <w:rsid w:val="72625139"/>
    <w:rsid w:val="72752E54"/>
    <w:rsid w:val="72DC3AFD"/>
    <w:rsid w:val="73222633"/>
    <w:rsid w:val="737F790A"/>
    <w:rsid w:val="74042F6D"/>
    <w:rsid w:val="742F0F2B"/>
    <w:rsid w:val="74D015DB"/>
    <w:rsid w:val="754664F5"/>
    <w:rsid w:val="75645FCD"/>
    <w:rsid w:val="7565655C"/>
    <w:rsid w:val="75795053"/>
    <w:rsid w:val="75AD35E1"/>
    <w:rsid w:val="760D23F9"/>
    <w:rsid w:val="762D2F6F"/>
    <w:rsid w:val="763D73C5"/>
    <w:rsid w:val="767F74F6"/>
    <w:rsid w:val="76910A96"/>
    <w:rsid w:val="76A839BC"/>
    <w:rsid w:val="76AA163F"/>
    <w:rsid w:val="76AD4D0C"/>
    <w:rsid w:val="76DB1E0E"/>
    <w:rsid w:val="77181C73"/>
    <w:rsid w:val="77476F3F"/>
    <w:rsid w:val="782D769F"/>
    <w:rsid w:val="783C40F1"/>
    <w:rsid w:val="784D67ED"/>
    <w:rsid w:val="78555DF8"/>
    <w:rsid w:val="78736203"/>
    <w:rsid w:val="78BF5AA2"/>
    <w:rsid w:val="78DE02DA"/>
    <w:rsid w:val="78DE6B63"/>
    <w:rsid w:val="791C5C34"/>
    <w:rsid w:val="792B14B2"/>
    <w:rsid w:val="79326A03"/>
    <w:rsid w:val="793C35BB"/>
    <w:rsid w:val="795246D5"/>
    <w:rsid w:val="796727BD"/>
    <w:rsid w:val="79822FE7"/>
    <w:rsid w:val="79987709"/>
    <w:rsid w:val="79BC316C"/>
    <w:rsid w:val="7A377612"/>
    <w:rsid w:val="7AC66145"/>
    <w:rsid w:val="7AF3437A"/>
    <w:rsid w:val="7B186900"/>
    <w:rsid w:val="7B4E0CBB"/>
    <w:rsid w:val="7B690C89"/>
    <w:rsid w:val="7B707657"/>
    <w:rsid w:val="7BCF062D"/>
    <w:rsid w:val="7BD62F0E"/>
    <w:rsid w:val="7C0C0492"/>
    <w:rsid w:val="7C2C67C8"/>
    <w:rsid w:val="7C376B38"/>
    <w:rsid w:val="7C805752"/>
    <w:rsid w:val="7CC2473D"/>
    <w:rsid w:val="7CC44208"/>
    <w:rsid w:val="7CCE1B8C"/>
    <w:rsid w:val="7CE0015B"/>
    <w:rsid w:val="7D0719AF"/>
    <w:rsid w:val="7D581AD7"/>
    <w:rsid w:val="7D78481D"/>
    <w:rsid w:val="7DAE1EBA"/>
    <w:rsid w:val="7DF63568"/>
    <w:rsid w:val="7E8E441D"/>
    <w:rsid w:val="7E994343"/>
    <w:rsid w:val="7EA52354"/>
    <w:rsid w:val="7EA81866"/>
    <w:rsid w:val="7EA954AC"/>
    <w:rsid w:val="7ECA4B12"/>
    <w:rsid w:val="7EE47B3C"/>
    <w:rsid w:val="7F001769"/>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7</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2025-09-30T06:47:59Z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